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9E709" w14:textId="422A45DE" w:rsidR="00D25D9E" w:rsidRPr="00D25D9E" w:rsidRDefault="00D25D9E" w:rsidP="001F0D06">
      <w:pPr>
        <w:widowControl w:val="0"/>
        <w:tabs>
          <w:tab w:val="left" w:pos="567"/>
        </w:tabs>
        <w:jc w:val="center"/>
        <w:rPr>
          <w:rFonts w:ascii="Arial" w:hAnsi="Arial" w:cs="Arial"/>
          <w:sz w:val="28"/>
          <w:szCs w:val="28"/>
        </w:rPr>
      </w:pPr>
      <w:bookmarkStart w:id="0" w:name="_Hlk151988665"/>
      <w:bookmarkStart w:id="1" w:name="_Hlk156825582"/>
      <w:r w:rsidRPr="00D25D9E">
        <w:rPr>
          <w:rFonts w:ascii="Arial" w:hAnsi="Arial" w:cs="Arial"/>
          <w:sz w:val="28"/>
          <w:szCs w:val="28"/>
        </w:rPr>
        <w:t xml:space="preserve">Обнародовано на информационном стенде </w:t>
      </w:r>
      <w:r w:rsidR="001F0D06">
        <w:rPr>
          <w:rFonts w:ascii="Arial" w:hAnsi="Arial" w:cs="Arial"/>
          <w:sz w:val="28"/>
          <w:szCs w:val="28"/>
        </w:rPr>
        <w:t>09</w:t>
      </w:r>
      <w:r w:rsidRPr="00D25D9E">
        <w:rPr>
          <w:rFonts w:ascii="Arial" w:hAnsi="Arial" w:cs="Arial"/>
          <w:sz w:val="28"/>
          <w:szCs w:val="28"/>
        </w:rPr>
        <w:t xml:space="preserve"> </w:t>
      </w:r>
      <w:r w:rsidR="001F0D06">
        <w:rPr>
          <w:rFonts w:ascii="Arial" w:hAnsi="Arial" w:cs="Arial"/>
          <w:sz w:val="28"/>
          <w:szCs w:val="28"/>
        </w:rPr>
        <w:t>янва</w:t>
      </w:r>
      <w:r w:rsidRPr="00D25D9E">
        <w:rPr>
          <w:rFonts w:ascii="Arial" w:hAnsi="Arial" w:cs="Arial"/>
          <w:sz w:val="28"/>
          <w:szCs w:val="28"/>
        </w:rPr>
        <w:t>ря 202</w:t>
      </w:r>
      <w:r w:rsidR="001F0D06">
        <w:rPr>
          <w:rFonts w:ascii="Arial" w:hAnsi="Arial" w:cs="Arial"/>
          <w:sz w:val="28"/>
          <w:szCs w:val="28"/>
        </w:rPr>
        <w:t>4</w:t>
      </w:r>
      <w:r w:rsidRPr="00D25D9E">
        <w:rPr>
          <w:rFonts w:ascii="Arial" w:hAnsi="Arial" w:cs="Arial"/>
          <w:sz w:val="28"/>
          <w:szCs w:val="28"/>
        </w:rPr>
        <w:t xml:space="preserve"> года</w:t>
      </w:r>
    </w:p>
    <w:p w14:paraId="78712D8A" w14:textId="77777777" w:rsidR="00D25D9E" w:rsidRPr="00D25D9E" w:rsidRDefault="00D25D9E" w:rsidP="001F0D06">
      <w:pPr>
        <w:widowControl w:val="0"/>
        <w:jc w:val="center"/>
        <w:rPr>
          <w:rFonts w:ascii="Arial" w:hAnsi="Arial" w:cs="Arial"/>
        </w:rPr>
      </w:pPr>
    </w:p>
    <w:p w14:paraId="28ED0F34" w14:textId="77777777" w:rsidR="00D25D9E" w:rsidRPr="00D25D9E" w:rsidRDefault="00D25D9E" w:rsidP="001F0D06">
      <w:pPr>
        <w:widowControl w:val="0"/>
        <w:jc w:val="center"/>
        <w:rPr>
          <w:rFonts w:ascii="Arial" w:hAnsi="Arial" w:cs="Arial"/>
        </w:rPr>
      </w:pPr>
    </w:p>
    <w:p w14:paraId="296D1256" w14:textId="77777777" w:rsidR="00D25D9E" w:rsidRPr="00D25D9E" w:rsidRDefault="00D25D9E" w:rsidP="001F0D06">
      <w:pPr>
        <w:widowControl w:val="0"/>
        <w:jc w:val="center"/>
        <w:rPr>
          <w:rFonts w:ascii="Arial" w:hAnsi="Arial" w:cs="Arial"/>
          <w:b/>
          <w:sz w:val="32"/>
          <w:szCs w:val="32"/>
        </w:rPr>
      </w:pPr>
      <w:r w:rsidRPr="00D25D9E">
        <w:rPr>
          <w:rFonts w:ascii="Arial" w:hAnsi="Arial" w:cs="Arial"/>
          <w:b/>
          <w:sz w:val="32"/>
          <w:szCs w:val="32"/>
        </w:rPr>
        <w:t>АДМИНИСТРАЦИЯ ГРАЧЕВСКОГО МУНИЦИПАЛЬНОГО ОКРУГА СТАВРОПОЛЬСКОГО КРАЯ</w:t>
      </w:r>
    </w:p>
    <w:p w14:paraId="58653BEA" w14:textId="77777777" w:rsidR="00D25D9E" w:rsidRPr="00D25D9E" w:rsidRDefault="00D25D9E" w:rsidP="001F0D06">
      <w:pPr>
        <w:widowControl w:val="0"/>
        <w:tabs>
          <w:tab w:val="left" w:pos="567"/>
        </w:tabs>
        <w:jc w:val="both"/>
        <w:rPr>
          <w:rFonts w:ascii="Arial" w:hAnsi="Arial" w:cs="Arial"/>
          <w:bCs/>
          <w:color w:val="00000A"/>
        </w:rPr>
      </w:pPr>
    </w:p>
    <w:p w14:paraId="3EB87592" w14:textId="77777777" w:rsidR="00D25D9E" w:rsidRPr="00D25D9E" w:rsidRDefault="00D25D9E" w:rsidP="001F0D06">
      <w:pPr>
        <w:widowControl w:val="0"/>
        <w:tabs>
          <w:tab w:val="left" w:pos="567"/>
        </w:tabs>
        <w:jc w:val="center"/>
        <w:rPr>
          <w:rFonts w:ascii="Arial" w:hAnsi="Arial" w:cs="Arial"/>
          <w:b/>
          <w:color w:val="00000A"/>
          <w:sz w:val="32"/>
          <w:szCs w:val="32"/>
        </w:rPr>
      </w:pPr>
      <w:r w:rsidRPr="00D25D9E">
        <w:rPr>
          <w:rFonts w:ascii="Arial" w:hAnsi="Arial" w:cs="Arial"/>
          <w:b/>
          <w:color w:val="00000A"/>
          <w:sz w:val="32"/>
          <w:szCs w:val="32"/>
        </w:rPr>
        <w:t>ПОСТАНОВЛЕНИЕ</w:t>
      </w:r>
    </w:p>
    <w:p w14:paraId="45833BA7" w14:textId="58C452C5" w:rsidR="00D25D9E" w:rsidRPr="00D25D9E" w:rsidRDefault="00D25D9E" w:rsidP="001F0D06">
      <w:pPr>
        <w:widowControl w:val="0"/>
        <w:jc w:val="center"/>
        <w:rPr>
          <w:rFonts w:ascii="Arial" w:hAnsi="Arial" w:cs="Arial"/>
          <w:sz w:val="32"/>
          <w:szCs w:val="32"/>
        </w:rPr>
      </w:pPr>
      <w:r w:rsidRPr="00D25D9E">
        <w:rPr>
          <w:rFonts w:ascii="Arial" w:hAnsi="Arial" w:cs="Arial"/>
          <w:b/>
          <w:color w:val="000000"/>
          <w:sz w:val="32"/>
          <w:szCs w:val="32"/>
        </w:rPr>
        <w:t xml:space="preserve">от </w:t>
      </w:r>
      <w:r w:rsidR="001F0D06">
        <w:rPr>
          <w:rFonts w:ascii="Arial" w:hAnsi="Arial" w:cs="Arial"/>
          <w:b/>
          <w:color w:val="000000"/>
          <w:sz w:val="32"/>
          <w:szCs w:val="32"/>
        </w:rPr>
        <w:t>09</w:t>
      </w:r>
      <w:r w:rsidRPr="00D25D9E">
        <w:rPr>
          <w:rFonts w:ascii="Arial" w:hAnsi="Arial" w:cs="Arial"/>
          <w:b/>
          <w:color w:val="000000"/>
          <w:sz w:val="32"/>
          <w:szCs w:val="32"/>
        </w:rPr>
        <w:t xml:space="preserve"> </w:t>
      </w:r>
      <w:r w:rsidR="001F0D06">
        <w:rPr>
          <w:rFonts w:ascii="Arial" w:hAnsi="Arial" w:cs="Arial"/>
          <w:b/>
          <w:color w:val="000000"/>
          <w:sz w:val="32"/>
          <w:szCs w:val="32"/>
        </w:rPr>
        <w:t>янва</w:t>
      </w:r>
      <w:r w:rsidRPr="00D25D9E">
        <w:rPr>
          <w:rFonts w:ascii="Arial" w:hAnsi="Arial" w:cs="Arial"/>
          <w:b/>
          <w:color w:val="000000"/>
          <w:sz w:val="32"/>
          <w:szCs w:val="32"/>
        </w:rPr>
        <w:t>ря 202</w:t>
      </w:r>
      <w:r w:rsidR="001F0D06">
        <w:rPr>
          <w:rFonts w:ascii="Arial" w:hAnsi="Arial" w:cs="Arial"/>
          <w:b/>
          <w:color w:val="000000"/>
          <w:sz w:val="32"/>
          <w:szCs w:val="32"/>
        </w:rPr>
        <w:t>4</w:t>
      </w:r>
      <w:r w:rsidRPr="00D25D9E">
        <w:rPr>
          <w:rFonts w:ascii="Arial" w:hAnsi="Arial" w:cs="Arial"/>
          <w:b/>
          <w:color w:val="000000"/>
          <w:sz w:val="32"/>
          <w:szCs w:val="32"/>
        </w:rPr>
        <w:t xml:space="preserve"> г № 1</w:t>
      </w:r>
      <w:bookmarkEnd w:id="0"/>
    </w:p>
    <w:bookmarkEnd w:id="1"/>
    <w:p w14:paraId="439F40E8" w14:textId="77777777" w:rsidR="00D25D9E" w:rsidRPr="00D25D9E" w:rsidRDefault="00D25D9E" w:rsidP="001F0D06">
      <w:pPr>
        <w:widowControl w:val="0"/>
        <w:jc w:val="both"/>
        <w:rPr>
          <w:rFonts w:ascii="Arial" w:hAnsi="Arial" w:cs="Arial"/>
        </w:rPr>
      </w:pPr>
    </w:p>
    <w:p w14:paraId="1AE63269" w14:textId="77777777" w:rsidR="009A2F7F" w:rsidRDefault="00D25D9E" w:rsidP="001F0D06">
      <w:pPr>
        <w:widowControl w:val="0"/>
        <w:jc w:val="center"/>
        <w:rPr>
          <w:rFonts w:ascii="Arial" w:hAnsi="Arial" w:cs="Arial"/>
          <w:b/>
          <w:bCs/>
          <w:sz w:val="32"/>
          <w:szCs w:val="32"/>
        </w:rPr>
      </w:pPr>
      <w:r w:rsidRPr="00D25D9E">
        <w:rPr>
          <w:rFonts w:ascii="Arial" w:hAnsi="Arial" w:cs="Arial"/>
          <w:b/>
          <w:bCs/>
          <w:sz w:val="32"/>
          <w:szCs w:val="32"/>
        </w:rPr>
        <w:t>О МЕРАХ ПО РЕАЛИЗАЦИИ РЕШЕНИЯ О БЮДЖЕТЕ ГРАЧЕВСКОГО МУНИЦИПАЛЬНОГО ОКРУГА СТАВРОПОЛЬСКОГО КРАЯ ОТ 20 ДЕКАБРЯ 2023 ГОДА</w:t>
      </w:r>
    </w:p>
    <w:p w14:paraId="44B5E9E0" w14:textId="172C55D9" w:rsidR="00053F11" w:rsidRPr="00D25D9E" w:rsidRDefault="00D25D9E" w:rsidP="009A2F7F">
      <w:pPr>
        <w:widowControl w:val="0"/>
        <w:tabs>
          <w:tab w:val="left" w:pos="567"/>
        </w:tabs>
        <w:jc w:val="center"/>
        <w:rPr>
          <w:rFonts w:ascii="Arial" w:hAnsi="Arial" w:cs="Arial"/>
          <w:b/>
          <w:bCs/>
          <w:sz w:val="32"/>
          <w:szCs w:val="32"/>
        </w:rPr>
      </w:pPr>
      <w:r w:rsidRPr="00D25D9E">
        <w:rPr>
          <w:rFonts w:ascii="Arial" w:hAnsi="Arial" w:cs="Arial"/>
          <w:b/>
          <w:bCs/>
          <w:sz w:val="32"/>
          <w:szCs w:val="32"/>
        </w:rPr>
        <w:t xml:space="preserve"> № 93 «О БЮДЖЕТЕ ГРАЧЕВСКОГО МУНИЦИПАЛЬНОГО ОКРУГА СТАВРОПОЛЬСКОГО КРАЯ НА 2024 ГОД И ПЛАНОВЫЙ ПЕРИОД 2025 И 2026 ГОДОВ»</w:t>
      </w:r>
    </w:p>
    <w:p w14:paraId="77170F5B" w14:textId="77777777" w:rsidR="00053F11" w:rsidRDefault="00053F11" w:rsidP="001F0D06">
      <w:pPr>
        <w:widowControl w:val="0"/>
        <w:autoSpaceDE w:val="0"/>
        <w:autoSpaceDN w:val="0"/>
        <w:rPr>
          <w:rFonts w:ascii="Arial" w:hAnsi="Arial" w:cs="Arial"/>
        </w:rPr>
      </w:pPr>
    </w:p>
    <w:p w14:paraId="76F95BE1" w14:textId="77777777" w:rsidR="009A2F7F" w:rsidRPr="00D25D9E" w:rsidRDefault="009A2F7F" w:rsidP="001F0D06">
      <w:pPr>
        <w:widowControl w:val="0"/>
        <w:autoSpaceDE w:val="0"/>
        <w:autoSpaceDN w:val="0"/>
        <w:rPr>
          <w:rFonts w:ascii="Arial" w:hAnsi="Arial" w:cs="Arial"/>
        </w:rPr>
      </w:pPr>
    </w:p>
    <w:p w14:paraId="4AB50148" w14:textId="1EF2381A"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 xml:space="preserve">В соответствии с решением Совета Грачевского муниципального округа </w:t>
      </w:r>
      <w:hyperlink r:id="rId4" w:history="1"/>
      <w:r w:rsidRPr="00D25D9E">
        <w:rPr>
          <w:rFonts w:ascii="Arial" w:hAnsi="Arial" w:cs="Arial"/>
        </w:rPr>
        <w:t>Ставропольского края от 20 декабря 2023 года № 93 «О бюджете Грачевского муниципального округа</w:t>
      </w:r>
      <w:hyperlink r:id="rId5" w:history="1"/>
      <w:r w:rsidRPr="00D25D9E">
        <w:rPr>
          <w:rFonts w:ascii="Arial" w:hAnsi="Arial" w:cs="Arial"/>
        </w:rPr>
        <w:t xml:space="preserve"> Ставропольского края на 2024 год и плановый период 2025 и 2026 годов», администрация</w:t>
      </w:r>
      <w:r w:rsidR="001F0D06">
        <w:rPr>
          <w:rFonts w:ascii="Arial" w:hAnsi="Arial" w:cs="Arial"/>
        </w:rPr>
        <w:t xml:space="preserve"> </w:t>
      </w:r>
      <w:r w:rsidRPr="00D25D9E">
        <w:rPr>
          <w:rFonts w:ascii="Arial" w:hAnsi="Arial" w:cs="Arial"/>
        </w:rPr>
        <w:t>Грачевского муниципального округа Ставропольского края</w:t>
      </w:r>
    </w:p>
    <w:p w14:paraId="1CFEFE4D" w14:textId="77777777" w:rsidR="00053F11" w:rsidRPr="00D25D9E" w:rsidRDefault="00053F11" w:rsidP="001F0D06">
      <w:pPr>
        <w:widowControl w:val="0"/>
        <w:autoSpaceDE w:val="0"/>
        <w:autoSpaceDN w:val="0"/>
        <w:ind w:firstLine="567"/>
        <w:jc w:val="both"/>
        <w:rPr>
          <w:rFonts w:ascii="Arial" w:hAnsi="Arial" w:cs="Arial"/>
        </w:rPr>
      </w:pPr>
    </w:p>
    <w:p w14:paraId="7D6E8CF6" w14:textId="77777777" w:rsidR="00053F11" w:rsidRPr="00D25D9E" w:rsidRDefault="00053F11" w:rsidP="001F0D06">
      <w:pPr>
        <w:widowControl w:val="0"/>
        <w:autoSpaceDE w:val="0"/>
        <w:autoSpaceDN w:val="0"/>
        <w:jc w:val="both"/>
        <w:rPr>
          <w:rFonts w:ascii="Arial" w:hAnsi="Arial" w:cs="Arial"/>
        </w:rPr>
      </w:pPr>
      <w:r w:rsidRPr="00D25D9E">
        <w:rPr>
          <w:rFonts w:ascii="Arial" w:hAnsi="Arial" w:cs="Arial"/>
        </w:rPr>
        <w:t>ПОСТАНОВЛЯЕТ:</w:t>
      </w:r>
    </w:p>
    <w:p w14:paraId="1522B407" w14:textId="77777777" w:rsidR="00053F11" w:rsidRPr="00D25D9E" w:rsidRDefault="00053F11" w:rsidP="001F0D06">
      <w:pPr>
        <w:widowControl w:val="0"/>
        <w:autoSpaceDE w:val="0"/>
        <w:autoSpaceDN w:val="0"/>
        <w:ind w:firstLine="567"/>
        <w:rPr>
          <w:rFonts w:ascii="Arial" w:hAnsi="Arial" w:cs="Arial"/>
        </w:rPr>
      </w:pPr>
    </w:p>
    <w:p w14:paraId="6F61315A"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1. Принять к исполнению бюджет Грачевского муниципального округа Ставропольского края на 2024 год и плановый период 2025 и 2026 годов (далее - местный бюджет).</w:t>
      </w:r>
    </w:p>
    <w:p w14:paraId="7EAF4E77" w14:textId="77777777" w:rsidR="00053F11" w:rsidRPr="00D25D9E" w:rsidRDefault="00053F11" w:rsidP="001F0D06">
      <w:pPr>
        <w:widowControl w:val="0"/>
        <w:autoSpaceDE w:val="0"/>
        <w:autoSpaceDN w:val="0"/>
        <w:ind w:firstLine="567"/>
        <w:jc w:val="both"/>
        <w:rPr>
          <w:rFonts w:ascii="Arial" w:hAnsi="Arial" w:cs="Arial"/>
        </w:rPr>
      </w:pPr>
    </w:p>
    <w:p w14:paraId="26622657"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2. Главным администраторам, администраторам доходов местного бюджета:</w:t>
      </w:r>
    </w:p>
    <w:p w14:paraId="1E659BDE"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2.1. Принимать меры, способствующие увеличению поступлений налогов, сборов и других обязательных платежей в местный бюджет, в пределах своей компетенции, а также сокращению задолженности по их уплате.</w:t>
      </w:r>
    </w:p>
    <w:p w14:paraId="3B195955"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 xml:space="preserve">2.2. Осуществлять мониторинг дебиторской задолженности по платежам в местный бюджет, пеням и штрафам по ним и принимать меры по ее сокращению. </w:t>
      </w:r>
    </w:p>
    <w:p w14:paraId="5684E8DF"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2.3. Представлять в финансовое управление администрации Грачевского муниципального округа Ставропольского края аналитические материалы по исполнению местного бюджета, прогнозной оценке поступлений в части доходов местного бюджета в устанавливаемые им сроки.</w:t>
      </w:r>
    </w:p>
    <w:p w14:paraId="43E6886E"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2.4. Обеспечить проведение мероприятий по уточнению невыясненных поступлений, зачисляемых в местный бюджет.</w:t>
      </w:r>
    </w:p>
    <w:p w14:paraId="7E0CC07E" w14:textId="77777777" w:rsidR="00053F11" w:rsidRPr="00D25D9E" w:rsidRDefault="00053F11" w:rsidP="001F0D06">
      <w:pPr>
        <w:widowControl w:val="0"/>
        <w:autoSpaceDE w:val="0"/>
        <w:autoSpaceDN w:val="0"/>
        <w:ind w:firstLine="567"/>
        <w:jc w:val="both"/>
        <w:rPr>
          <w:rFonts w:ascii="Arial" w:hAnsi="Arial" w:cs="Arial"/>
        </w:rPr>
      </w:pPr>
    </w:p>
    <w:p w14:paraId="4A41AE7D"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3. Финансовому управлению администрации Грачевского муниципального округа Ставропольского края:</w:t>
      </w:r>
    </w:p>
    <w:p w14:paraId="54CFD00B"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 xml:space="preserve">3.1. В случае снижения объема поступлений доходов местного бюджета в ходе исполнения местного бюджета обеспечить доведение предельных объемов оплаты денежных обязательств до главных распорядителей средств местного бюджета для осуществления выплат по приоритетным расходам, указанным в пункте 9 решения Совета Грачевского муниципального округа Ставропольского края «О </w:t>
      </w:r>
      <w:r w:rsidRPr="00D25D9E">
        <w:rPr>
          <w:rFonts w:ascii="Arial" w:hAnsi="Arial" w:cs="Arial"/>
        </w:rPr>
        <w:lastRenderedPageBreak/>
        <w:t xml:space="preserve">бюджете Грачевского муниципального округа </w:t>
      </w:r>
      <w:hyperlink r:id="rId6" w:history="1"/>
      <w:r w:rsidRPr="00D25D9E">
        <w:rPr>
          <w:rFonts w:ascii="Arial" w:hAnsi="Arial" w:cs="Arial"/>
        </w:rPr>
        <w:t>Ставропольского края на 2024 год и плановый период 2025 и 2026 годов».</w:t>
      </w:r>
    </w:p>
    <w:p w14:paraId="436D1FA5" w14:textId="4F717F51"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3.2. Осуществлять ежеквартальный мониторинг численности муниципальных служащих Грачевского муниципального округа Ставропольского края и работников муниципальных учреждений Грачевского муниципального округа Ставропольского края и фактических затрат на их денежное содержание, а также расходах на содержание органов администрации Грачевского муниципального округа Ставропольского края</w:t>
      </w:r>
      <w:r w:rsidR="001F0D06">
        <w:rPr>
          <w:rFonts w:ascii="Arial" w:hAnsi="Arial" w:cs="Arial"/>
        </w:rPr>
        <w:t xml:space="preserve"> </w:t>
      </w:r>
      <w:r w:rsidRPr="00D25D9E">
        <w:rPr>
          <w:rFonts w:ascii="Arial" w:hAnsi="Arial" w:cs="Arial"/>
        </w:rPr>
        <w:t>и муниципальных</w:t>
      </w:r>
      <w:r w:rsidR="001F0D06">
        <w:rPr>
          <w:rFonts w:ascii="Arial" w:hAnsi="Arial" w:cs="Arial"/>
        </w:rPr>
        <w:t xml:space="preserve"> </w:t>
      </w:r>
      <w:r w:rsidRPr="00D25D9E">
        <w:rPr>
          <w:rFonts w:ascii="Arial" w:hAnsi="Arial" w:cs="Arial"/>
        </w:rPr>
        <w:t>учреждений Грачевского муниципального округа Ставропольского края по формам и в порядке, устанавливаемым финансовым управлением администрации Грачевского муниципального округа Ставропольского края.</w:t>
      </w:r>
    </w:p>
    <w:p w14:paraId="4C63DB20" w14:textId="77777777" w:rsidR="00053F11" w:rsidRPr="00D25D9E" w:rsidRDefault="00053F11" w:rsidP="001F0D06">
      <w:pPr>
        <w:widowControl w:val="0"/>
        <w:autoSpaceDE w:val="0"/>
        <w:autoSpaceDN w:val="0"/>
        <w:ind w:firstLine="567"/>
        <w:jc w:val="both"/>
        <w:rPr>
          <w:rFonts w:ascii="Arial" w:hAnsi="Arial" w:cs="Arial"/>
        </w:rPr>
      </w:pPr>
    </w:p>
    <w:p w14:paraId="2DDA40D4"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4. Главным распорядителям средств местного бюджета и муниципальным учреждениям Грачевского муниципального округа Ставропольского края обеспечить строгий контроль за своевременной:</w:t>
      </w:r>
    </w:p>
    <w:p w14:paraId="28F5D591"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оплатой труда и начислений на выплаты по оплате труда работников муниципальных учреждений Грачевского муниципального округа Ставропольского края;</w:t>
      </w:r>
    </w:p>
    <w:p w14:paraId="7A0ED943"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уплатой налогов, включаемых в состав расходов местного бюджета;</w:t>
      </w:r>
    </w:p>
    <w:p w14:paraId="26B1EB62"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оплатой муниципальными учреждениями Грачевского муниципального округа Ставропольского края коммунальных услуг в объемах, соответствующих текущему потреблению;</w:t>
      </w:r>
    </w:p>
    <w:p w14:paraId="129FD4D0"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выплатой средств местного бюджета на исполнение публичных нормативных обязательств.</w:t>
      </w:r>
    </w:p>
    <w:p w14:paraId="18B3EA9C" w14:textId="77777777" w:rsidR="00053F11" w:rsidRPr="00D25D9E" w:rsidRDefault="00053F11" w:rsidP="001F0D06">
      <w:pPr>
        <w:widowControl w:val="0"/>
        <w:autoSpaceDE w:val="0"/>
        <w:autoSpaceDN w:val="0"/>
        <w:ind w:firstLine="567"/>
        <w:jc w:val="both"/>
        <w:rPr>
          <w:rFonts w:ascii="Arial" w:hAnsi="Arial" w:cs="Arial"/>
        </w:rPr>
      </w:pPr>
    </w:p>
    <w:p w14:paraId="493C1B3E"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5. Установить, что:</w:t>
      </w:r>
    </w:p>
    <w:p w14:paraId="21EDF8AF"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5.1. Муниципальные контракты на поставку товаров, выполнение работ, оказание услуг для муниципальных нужд Грачевского муниципального округа Ставропольского края (далее - муниципальный контракт), подлежавшие в соответствии с условиями муниципальных контрактов оплате в 2023 году, но не исполненные на начало 2024 года, подлежат оплате в пределах лимитов бюджетных обязательств, утвержденных главному распорядителю средств местного бюджета на 2024 год.</w:t>
      </w:r>
    </w:p>
    <w:p w14:paraId="416A1F46"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5.2. Получатели средств местного бюджета при заключении муниципальных контрактов в пределах доведенных им в установленном порядке соответствующих лимитов бюджетных обязательств на 2024 год и плановый период 2025 и 2026 годов вправе предусматривать авансовые платежи:</w:t>
      </w:r>
    </w:p>
    <w:p w14:paraId="1F3EA822" w14:textId="77777777" w:rsidR="00053F11" w:rsidRPr="00D25D9E" w:rsidRDefault="00053F11" w:rsidP="001F0D06">
      <w:pPr>
        <w:widowControl w:val="0"/>
        <w:autoSpaceDE w:val="0"/>
        <w:autoSpaceDN w:val="0"/>
        <w:ind w:firstLine="567"/>
        <w:jc w:val="both"/>
        <w:rPr>
          <w:rFonts w:ascii="Arial" w:hAnsi="Arial" w:cs="Arial"/>
        </w:rPr>
      </w:pPr>
      <w:bookmarkStart w:id="2" w:name="P30"/>
      <w:bookmarkEnd w:id="2"/>
      <w:r w:rsidRPr="00D25D9E">
        <w:rPr>
          <w:rFonts w:ascii="Arial" w:hAnsi="Arial" w:cs="Arial"/>
        </w:rPr>
        <w:t>5.2.1. В размере до 100 процентов суммы муниципального контракта, но не более лимитов бюджетных обязательств, доведенных на соответствующий финансовый год по соответствующему коду бюджетной классификации, по муниципальным контрактам:</w:t>
      </w:r>
    </w:p>
    <w:p w14:paraId="41C4E2D0"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об оказании услуг связи;</w:t>
      </w:r>
    </w:p>
    <w:p w14:paraId="393E23D3"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о подписке на периодические печатные издания и об их приобретении;</w:t>
      </w:r>
    </w:p>
    <w:p w14:paraId="1FF11C76"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об обучении на курсах повышения квалификации, о прохождении профессиональной переподготовки;</w:t>
      </w:r>
    </w:p>
    <w:p w14:paraId="7FDDA74A"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об организации, проведении и участии в конференциях, семинарах, совещаниях, конкурсах, слетах;</w:t>
      </w:r>
    </w:p>
    <w:p w14:paraId="7567CC92"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о приобретении авиа- и железнодорожных билетов, билетов для проезда городским и пригородным транспортом;</w:t>
      </w:r>
    </w:p>
    <w:p w14:paraId="2A2005A3"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об оказании услуг по отдыху, оздоровлению и санаторно-курортному лечению детей по путевкам в организации отдыха детей и их оздоровления;</w:t>
      </w:r>
    </w:p>
    <w:p w14:paraId="2984F6CA"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 xml:space="preserve">об обязательном страховании гражданской ответственности владельцев </w:t>
      </w:r>
      <w:r w:rsidRPr="00D25D9E">
        <w:rPr>
          <w:rFonts w:ascii="Arial" w:hAnsi="Arial" w:cs="Arial"/>
        </w:rPr>
        <w:lastRenderedPageBreak/>
        <w:t>транспортных средств;</w:t>
      </w:r>
    </w:p>
    <w:p w14:paraId="6CFC5C2D"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об оказании услуг по проживанию в гостиницах;</w:t>
      </w:r>
    </w:p>
    <w:p w14:paraId="28691E6A"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на проживание и питание участников культурно-спортивных мероприятий;</w:t>
      </w:r>
    </w:p>
    <w:p w14:paraId="63C089EB"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о проведении технического осмотра автотранспорта;</w:t>
      </w:r>
    </w:p>
    <w:p w14:paraId="6C77EC29"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на представительские расходы главы Грачевского муниципального округа Ставропольского края;</w:t>
      </w:r>
    </w:p>
    <w:p w14:paraId="4FABE165"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на расходы, связанные с ритуальными услугами;</w:t>
      </w:r>
    </w:p>
    <w:p w14:paraId="0FF2CD51"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об услугах кредитных организаций по зачислению денежных средств на лицевые счета работников (служащих), открытые в кредитных учреждениях;</w:t>
      </w:r>
    </w:p>
    <w:p w14:paraId="70BB45EF"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о проведении экспертизы проектной документации и результатов инженерных изысканий;</w:t>
      </w:r>
    </w:p>
    <w:p w14:paraId="5B76D3CA"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14:paraId="78A7D0DC"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 xml:space="preserve">5.2.2. В размере до 30 процентов суммы муниципального контракта, но не более лимитов бюджетных обязательств, доведенных на соответствующий финансовый год по соответствующему коду бюджетной классификации, по муниципальным контрактам (за исключением муниципальных контрактов, указанных в </w:t>
      </w:r>
      <w:hyperlink w:anchor="P30" w:history="1">
        <w:r w:rsidRPr="00D25D9E">
          <w:rPr>
            <w:rFonts w:ascii="Arial" w:hAnsi="Arial" w:cs="Arial"/>
          </w:rPr>
          <w:t>подпункте 5.2.1</w:t>
        </w:r>
      </w:hyperlink>
      <w:r w:rsidRPr="00D25D9E">
        <w:rPr>
          <w:rFonts w:ascii="Arial" w:hAnsi="Arial" w:cs="Arial"/>
        </w:rPr>
        <w:t xml:space="preserve"> настоящего постановления), если иное не предусмотрено законодательством Российской Федерации.</w:t>
      </w:r>
    </w:p>
    <w:p w14:paraId="59047803"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5.3. Главные распорядители средств местного бюджета, осуществляющие функции и полномочия учредителя в отношении бюджетных учреждений Грачевского муниципального округа, обеспечивают включение указанными учреждениями при заключении ими договоров (контрактов) о поставке товаров, выполнении работ и оказании услуг условий об авансовых платежах в объеме, не превышающем предельных размеров выплат авансовых платежей, установленных в соответствии с подпунктом 5.2 настоящего постановления для получателей средств местного бюджета.</w:t>
      </w:r>
    </w:p>
    <w:p w14:paraId="1B7D011B" w14:textId="77777777" w:rsidR="00053F11" w:rsidRPr="00D25D9E" w:rsidRDefault="00053F11" w:rsidP="001F0D06">
      <w:pPr>
        <w:widowControl w:val="0"/>
        <w:autoSpaceDE w:val="0"/>
        <w:autoSpaceDN w:val="0"/>
        <w:ind w:firstLine="567"/>
        <w:jc w:val="both"/>
        <w:rPr>
          <w:rFonts w:ascii="Arial" w:hAnsi="Arial" w:cs="Arial"/>
        </w:rPr>
      </w:pPr>
    </w:p>
    <w:p w14:paraId="25A01F82" w14:textId="4D5F03F4" w:rsidR="00053F11" w:rsidRPr="00D25D9E" w:rsidRDefault="00053F11" w:rsidP="001F0D06">
      <w:pPr>
        <w:widowControl w:val="0"/>
        <w:autoSpaceDE w:val="0"/>
        <w:autoSpaceDN w:val="0"/>
        <w:adjustRightInd w:val="0"/>
        <w:ind w:firstLine="567"/>
        <w:jc w:val="both"/>
        <w:rPr>
          <w:rFonts w:ascii="Arial" w:hAnsi="Arial" w:cs="Arial"/>
        </w:rPr>
      </w:pPr>
      <w:r w:rsidRPr="00D25D9E">
        <w:rPr>
          <w:rFonts w:ascii="Arial" w:hAnsi="Arial" w:cs="Arial"/>
        </w:rPr>
        <w:t>6. Главным распорядителям средств местного бюджета представлять в финансовое управление администрации Грачевского муниципального округа Ставропольского края информацию о выполнении настоящего постановления одновременно с бюджетной отчетностью за первое полугодие 2024 года,</w:t>
      </w:r>
      <w:r w:rsidR="001F0D06">
        <w:rPr>
          <w:rFonts w:ascii="Arial" w:hAnsi="Arial" w:cs="Arial"/>
        </w:rPr>
        <w:t xml:space="preserve"> </w:t>
      </w:r>
      <w:r w:rsidRPr="00D25D9E">
        <w:rPr>
          <w:rFonts w:ascii="Arial" w:hAnsi="Arial" w:cs="Arial"/>
        </w:rPr>
        <w:t>9 месяцев 2024 года и за 2024 год.</w:t>
      </w:r>
    </w:p>
    <w:p w14:paraId="0AE588A2" w14:textId="77777777" w:rsidR="00053F11" w:rsidRPr="00D25D9E" w:rsidRDefault="00053F11" w:rsidP="001F0D06">
      <w:pPr>
        <w:widowControl w:val="0"/>
        <w:autoSpaceDE w:val="0"/>
        <w:autoSpaceDN w:val="0"/>
        <w:adjustRightInd w:val="0"/>
        <w:ind w:firstLine="567"/>
        <w:jc w:val="both"/>
        <w:rPr>
          <w:rFonts w:ascii="Arial" w:hAnsi="Arial" w:cs="Arial"/>
        </w:rPr>
      </w:pPr>
    </w:p>
    <w:p w14:paraId="22B7707E"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7. Контроль за выполнением настоящего постановления возложить на начальника финансового управления администрации Грачевского муниципального округа Ставропольского края Сафронова И.А.</w:t>
      </w:r>
    </w:p>
    <w:p w14:paraId="726349BE" w14:textId="77777777" w:rsidR="00053F11" w:rsidRPr="00D25D9E" w:rsidRDefault="00053F11" w:rsidP="001F0D06">
      <w:pPr>
        <w:widowControl w:val="0"/>
        <w:autoSpaceDE w:val="0"/>
        <w:autoSpaceDN w:val="0"/>
        <w:ind w:firstLine="567"/>
        <w:jc w:val="both"/>
        <w:rPr>
          <w:rFonts w:ascii="Arial" w:hAnsi="Arial" w:cs="Arial"/>
        </w:rPr>
      </w:pPr>
    </w:p>
    <w:p w14:paraId="6610F229" w14:textId="77777777" w:rsidR="00053F11" w:rsidRPr="00D25D9E" w:rsidRDefault="00053F11" w:rsidP="001F0D06">
      <w:pPr>
        <w:widowControl w:val="0"/>
        <w:autoSpaceDE w:val="0"/>
        <w:autoSpaceDN w:val="0"/>
        <w:ind w:firstLine="567"/>
        <w:jc w:val="both"/>
        <w:rPr>
          <w:rFonts w:ascii="Arial" w:hAnsi="Arial" w:cs="Arial"/>
        </w:rPr>
      </w:pPr>
      <w:r w:rsidRPr="00D25D9E">
        <w:rPr>
          <w:rFonts w:ascii="Arial" w:hAnsi="Arial" w:cs="Arial"/>
        </w:rPr>
        <w:t>8. Настоящее постановление вступает в силу со дня его подписания и распространяется на правоотношения, возникшие с 01 января 2024 года.</w:t>
      </w:r>
    </w:p>
    <w:p w14:paraId="3326FDB7" w14:textId="77777777" w:rsidR="00053F11" w:rsidRPr="00D25D9E" w:rsidRDefault="00053F11" w:rsidP="001F0D06">
      <w:pPr>
        <w:widowControl w:val="0"/>
        <w:autoSpaceDE w:val="0"/>
        <w:autoSpaceDN w:val="0"/>
        <w:ind w:firstLine="567"/>
        <w:jc w:val="both"/>
        <w:rPr>
          <w:rFonts w:ascii="Arial" w:hAnsi="Arial" w:cs="Arial"/>
        </w:rPr>
      </w:pPr>
    </w:p>
    <w:p w14:paraId="60A1E5CD" w14:textId="77777777" w:rsidR="00F93190" w:rsidRDefault="00F93190" w:rsidP="001F0D06">
      <w:pPr>
        <w:widowControl w:val="0"/>
        <w:ind w:firstLine="567"/>
        <w:rPr>
          <w:rFonts w:ascii="Arial" w:hAnsi="Arial" w:cs="Arial"/>
        </w:rPr>
      </w:pPr>
    </w:p>
    <w:p w14:paraId="5F3C6441" w14:textId="77777777" w:rsidR="00C55DB1" w:rsidRDefault="00C55DB1" w:rsidP="001F0D06">
      <w:pPr>
        <w:widowControl w:val="0"/>
        <w:ind w:firstLine="567"/>
        <w:rPr>
          <w:rFonts w:ascii="Arial" w:hAnsi="Arial" w:cs="Arial"/>
        </w:rPr>
      </w:pPr>
    </w:p>
    <w:p w14:paraId="5A406BF6" w14:textId="77777777" w:rsidR="00C55DB1" w:rsidRPr="00112946" w:rsidRDefault="00C55DB1" w:rsidP="001F0D06">
      <w:pPr>
        <w:widowControl w:val="0"/>
        <w:shd w:val="clear" w:color="auto" w:fill="FFFFFF"/>
        <w:contextualSpacing/>
        <w:mirrorIndents/>
        <w:jc w:val="right"/>
        <w:textAlignment w:val="baseline"/>
        <w:rPr>
          <w:rFonts w:ascii="Arial" w:hAnsi="Arial" w:cs="Arial"/>
          <w:color w:val="000000"/>
        </w:rPr>
      </w:pPr>
      <w:bookmarkStart w:id="3" w:name="_Hlk152061617"/>
      <w:r w:rsidRPr="00112946">
        <w:rPr>
          <w:rFonts w:ascii="Arial" w:hAnsi="Arial" w:cs="Arial"/>
          <w:color w:val="000000"/>
        </w:rPr>
        <w:t>Глава Грачевского</w:t>
      </w:r>
    </w:p>
    <w:p w14:paraId="747AB5C0" w14:textId="77777777" w:rsidR="00C55DB1" w:rsidRPr="00112946" w:rsidRDefault="00C55DB1" w:rsidP="001F0D06">
      <w:pPr>
        <w:widowControl w:val="0"/>
        <w:shd w:val="clear" w:color="auto" w:fill="FFFFFF"/>
        <w:contextualSpacing/>
        <w:mirrorIndents/>
        <w:jc w:val="right"/>
        <w:textAlignment w:val="baseline"/>
        <w:rPr>
          <w:rFonts w:ascii="Arial" w:hAnsi="Arial" w:cs="Arial"/>
          <w:color w:val="000000"/>
        </w:rPr>
      </w:pPr>
      <w:r w:rsidRPr="00112946">
        <w:rPr>
          <w:rFonts w:ascii="Arial" w:hAnsi="Arial" w:cs="Arial"/>
          <w:color w:val="000000"/>
        </w:rPr>
        <w:t>муниципального округа</w:t>
      </w:r>
    </w:p>
    <w:p w14:paraId="229B6A7B" w14:textId="77777777" w:rsidR="00C55DB1" w:rsidRPr="00112946" w:rsidRDefault="00C55DB1" w:rsidP="001F0D06">
      <w:pPr>
        <w:widowControl w:val="0"/>
        <w:contextualSpacing/>
        <w:mirrorIndents/>
        <w:jc w:val="right"/>
        <w:rPr>
          <w:rFonts w:ascii="Arial" w:hAnsi="Arial" w:cs="Arial"/>
          <w:color w:val="000000"/>
        </w:rPr>
      </w:pPr>
      <w:r w:rsidRPr="00112946">
        <w:rPr>
          <w:rFonts w:ascii="Arial" w:hAnsi="Arial" w:cs="Arial"/>
          <w:color w:val="000000"/>
        </w:rPr>
        <w:t>Ставропольского края</w:t>
      </w:r>
    </w:p>
    <w:p w14:paraId="4893696E" w14:textId="44CD686F" w:rsidR="00C55DB1" w:rsidRPr="009A2F7F" w:rsidRDefault="00C55DB1" w:rsidP="009A2F7F">
      <w:pPr>
        <w:widowControl w:val="0"/>
        <w:contextualSpacing/>
        <w:mirrorIndents/>
        <w:jc w:val="right"/>
        <w:rPr>
          <w:rFonts w:ascii="Arial" w:hAnsi="Arial" w:cs="Arial"/>
          <w:color w:val="000000"/>
        </w:rPr>
      </w:pPr>
      <w:r w:rsidRPr="00112946">
        <w:rPr>
          <w:rFonts w:ascii="Arial" w:hAnsi="Arial" w:cs="Arial"/>
          <w:color w:val="000000"/>
        </w:rPr>
        <w:t>С.Л.ФИЛИЧКИН</w:t>
      </w:r>
      <w:bookmarkEnd w:id="3"/>
    </w:p>
    <w:sectPr w:rsidR="00C55DB1" w:rsidRPr="009A2F7F" w:rsidSect="00D25D9E">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EA"/>
    <w:rsid w:val="00053F11"/>
    <w:rsid w:val="001F0D06"/>
    <w:rsid w:val="009A2F7F"/>
    <w:rsid w:val="00C55DB1"/>
    <w:rsid w:val="00D25D9E"/>
    <w:rsid w:val="00DA3D0A"/>
    <w:rsid w:val="00F93190"/>
    <w:rsid w:val="00F93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8769"/>
  <w15:chartTrackingRefBased/>
  <w15:docId w15:val="{C6EA54A6-B18A-4D7E-9F9B-C57218EB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F11"/>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13E4EB4E8FB333649017404E5A7D69F744A3A16F6FDED8BD3B54152F122825BSCp4E" TargetMode="External"/><Relationship Id="rId5" Type="http://schemas.openxmlformats.org/officeDocument/2006/relationships/hyperlink" Target="consultantplus://offline/ref=F13E4EB4E8FB333649017404E5A7D69F744A3A16F6FDED8BD3B54152F122825BSCp4E" TargetMode="External"/><Relationship Id="rId4" Type="http://schemas.openxmlformats.org/officeDocument/2006/relationships/hyperlink" Target="consultantplus://offline/ref=F13E4EB4E8FB333649017404E5A7D69F744A3A16F6FDED8BD3B54152F122825BSCp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1154</Words>
  <Characters>6580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Декало</dc:creator>
  <cp:keywords/>
  <dc:description/>
  <cp:lastModifiedBy>Ольга Декало</cp:lastModifiedBy>
  <cp:revision>5</cp:revision>
  <dcterms:created xsi:type="dcterms:W3CDTF">2024-01-22T08:54:00Z</dcterms:created>
  <dcterms:modified xsi:type="dcterms:W3CDTF">2024-01-22T11:34:00Z</dcterms:modified>
</cp:coreProperties>
</file>